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5099" w14:textId="77777777" w:rsidR="0071099C" w:rsidRDefault="0071099C" w:rsidP="0071099C">
      <w:pPr>
        <w:spacing w:line="276" w:lineRule="auto"/>
        <w:jc w:val="center"/>
        <w:rPr>
          <w:rFonts w:asciiTheme="majorBidi" w:hAnsiTheme="majorBidi" w:cstheme="majorBidi"/>
          <w:b/>
          <w:bCs/>
          <w:u w:val="single"/>
        </w:rPr>
      </w:pPr>
      <w:r w:rsidRPr="00B4072F">
        <w:rPr>
          <w:rFonts w:asciiTheme="majorBidi" w:hAnsiTheme="majorBidi" w:cstheme="majorBidi"/>
          <w:b/>
          <w:bCs/>
          <w:u w:val="single"/>
        </w:rPr>
        <w:t>FREEDOM OF INFORMATION ACT</w:t>
      </w:r>
    </w:p>
    <w:p w14:paraId="05523265" w14:textId="77777777" w:rsidR="0071099C" w:rsidRPr="00B4072F" w:rsidRDefault="0071099C" w:rsidP="0071099C">
      <w:pPr>
        <w:spacing w:line="276" w:lineRule="auto"/>
        <w:jc w:val="center"/>
        <w:rPr>
          <w:rFonts w:asciiTheme="majorBidi" w:hAnsiTheme="majorBidi" w:cstheme="majorBidi"/>
        </w:rPr>
      </w:pPr>
    </w:p>
    <w:p w14:paraId="2F72DCBE" w14:textId="77777777" w:rsidR="0071099C" w:rsidRPr="0071099C" w:rsidRDefault="0071099C" w:rsidP="0071099C">
      <w:pPr>
        <w:spacing w:line="276" w:lineRule="auto"/>
        <w:rPr>
          <w:rFonts w:asciiTheme="majorBidi" w:eastAsia="Times New Roman" w:hAnsiTheme="majorBidi" w:cstheme="majorBidi"/>
          <w:sz w:val="28"/>
          <w:szCs w:val="28"/>
          <w:lang w:eastAsia="en-GB"/>
        </w:rPr>
      </w:pPr>
      <w:r w:rsidRPr="0071099C">
        <w:rPr>
          <w:rFonts w:asciiTheme="majorBidi" w:hAnsiTheme="majorBidi" w:cstheme="majorBidi"/>
          <w:sz w:val="28"/>
          <w:szCs w:val="28"/>
        </w:rPr>
        <w:t xml:space="preserve">The Freedom of Information Act </w:t>
      </w:r>
      <w:r w:rsidRPr="0071099C">
        <w:rPr>
          <w:rFonts w:asciiTheme="majorBidi" w:eastAsia="Times New Roman" w:hAnsiTheme="majorBidi" w:cstheme="majorBidi"/>
          <w:sz w:val="28"/>
          <w:szCs w:val="28"/>
          <w:lang w:eastAsia="en-GB"/>
        </w:rPr>
        <w:t>entitles anybody to ask a public authority in England, Wales or Northern Ireland, including government departments, for any recorded information that they keep.</w:t>
      </w:r>
    </w:p>
    <w:p w14:paraId="648B32B9" w14:textId="77777777" w:rsidR="0071099C" w:rsidRPr="0071099C" w:rsidRDefault="0071099C" w:rsidP="0071099C">
      <w:pPr>
        <w:spacing w:line="276" w:lineRule="auto"/>
        <w:rPr>
          <w:rFonts w:asciiTheme="majorBidi" w:eastAsia="Times New Roman" w:hAnsiTheme="majorBidi" w:cstheme="majorBidi"/>
          <w:sz w:val="28"/>
          <w:szCs w:val="28"/>
          <w:lang w:eastAsia="en-GB"/>
        </w:rPr>
      </w:pPr>
    </w:p>
    <w:p w14:paraId="4B25CAE8" w14:textId="77777777" w:rsidR="0071099C" w:rsidRPr="0071099C" w:rsidRDefault="0071099C" w:rsidP="0071099C">
      <w:pPr>
        <w:pStyle w:val="Heading1"/>
        <w:rPr>
          <w:sz w:val="36"/>
          <w:szCs w:val="36"/>
        </w:rPr>
      </w:pPr>
      <w:r w:rsidRPr="0071099C">
        <w:rPr>
          <w:sz w:val="36"/>
          <w:szCs w:val="36"/>
        </w:rPr>
        <w:t>Asking for Information</w:t>
      </w:r>
    </w:p>
    <w:p w14:paraId="03E60F1C" w14:textId="77777777" w:rsidR="0071099C" w:rsidRPr="0071099C" w:rsidRDefault="0071099C" w:rsidP="0071099C">
      <w:pPr>
        <w:spacing w:line="276" w:lineRule="auto"/>
        <w:rPr>
          <w:rFonts w:asciiTheme="majorBidi" w:eastAsia="Times New Roman" w:hAnsiTheme="majorBidi" w:cstheme="majorBidi"/>
          <w:sz w:val="28"/>
          <w:szCs w:val="28"/>
          <w:lang w:eastAsia="en-GB"/>
        </w:rPr>
      </w:pPr>
      <w:r w:rsidRPr="0071099C">
        <w:rPr>
          <w:rFonts w:asciiTheme="majorBidi" w:eastAsia="Times New Roman" w:hAnsiTheme="majorBidi" w:cstheme="majorBidi"/>
          <w:sz w:val="28"/>
          <w:szCs w:val="28"/>
          <w:lang w:eastAsia="en-GB"/>
        </w:rPr>
        <w:t>It is preferable that you make your request in writing by letter or email to the address below.</w:t>
      </w:r>
    </w:p>
    <w:p w14:paraId="2BDE5D12" w14:textId="77777777" w:rsidR="0071099C" w:rsidRPr="0071099C" w:rsidRDefault="0071099C" w:rsidP="0071099C">
      <w:pPr>
        <w:spacing w:line="276" w:lineRule="auto"/>
        <w:rPr>
          <w:rFonts w:asciiTheme="majorBidi" w:eastAsia="Times New Roman" w:hAnsiTheme="majorBidi" w:cstheme="majorBidi"/>
          <w:sz w:val="28"/>
          <w:szCs w:val="28"/>
          <w:lang w:eastAsia="en-GB"/>
        </w:rPr>
      </w:pPr>
    </w:p>
    <w:p w14:paraId="0CA5425A" w14:textId="77777777" w:rsidR="0071099C" w:rsidRPr="0071099C" w:rsidRDefault="0071099C" w:rsidP="0071099C">
      <w:pPr>
        <w:spacing w:line="276" w:lineRule="auto"/>
        <w:rPr>
          <w:rFonts w:asciiTheme="majorBidi" w:eastAsia="Times New Roman" w:hAnsiTheme="majorBidi" w:cstheme="majorBidi"/>
          <w:b/>
          <w:bCs/>
          <w:sz w:val="28"/>
          <w:szCs w:val="28"/>
          <w:u w:val="single"/>
          <w:lang w:eastAsia="en-GB"/>
        </w:rPr>
      </w:pPr>
      <w:r w:rsidRPr="0071099C">
        <w:rPr>
          <w:rFonts w:asciiTheme="majorBidi" w:eastAsia="Times New Roman" w:hAnsiTheme="majorBidi" w:cstheme="majorBidi"/>
          <w:b/>
          <w:bCs/>
          <w:sz w:val="28"/>
          <w:szCs w:val="28"/>
          <w:u w:val="single"/>
          <w:lang w:eastAsia="en-GB"/>
        </w:rPr>
        <w:t>Declining a Request</w:t>
      </w:r>
    </w:p>
    <w:p w14:paraId="3AEF1CC2" w14:textId="77777777" w:rsidR="0071099C" w:rsidRP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sidRPr="0071099C">
        <w:rPr>
          <w:rFonts w:asciiTheme="majorBidi" w:eastAsia="Times New Roman" w:hAnsiTheme="majorBidi" w:cstheme="majorBidi"/>
          <w:sz w:val="28"/>
          <w:szCs w:val="28"/>
          <w:lang w:eastAsia="en-GB"/>
        </w:rPr>
        <w:t>We will provide the information unless there is a good reason for not doing so. This, for example could be if your request relates to the personal details of another person. If we decline the request, we will set out why. We can be asked to reconsider our decision. If the request is still declined </w:t>
      </w:r>
      <w:r w:rsidRPr="0071099C">
        <w:rPr>
          <w:rFonts w:asciiTheme="majorBidi" w:eastAsia="Times New Roman" w:hAnsiTheme="majorBidi" w:cstheme="majorBidi"/>
          <w:sz w:val="28"/>
          <w:szCs w:val="28"/>
          <w:bdr w:val="none" w:sz="0" w:space="0" w:color="auto" w:frame="1"/>
          <w:lang w:eastAsia="en-GB"/>
        </w:rPr>
        <w:t>there is a right to apply directly to the Information Commissioners Office for a decision.</w:t>
      </w:r>
    </w:p>
    <w:p w14:paraId="022F22CF" w14:textId="77777777" w:rsidR="0071099C" w:rsidRPr="0071099C" w:rsidRDefault="0071099C" w:rsidP="0071099C">
      <w:pPr>
        <w:spacing w:line="276" w:lineRule="auto"/>
        <w:rPr>
          <w:rFonts w:asciiTheme="majorBidi" w:hAnsiTheme="majorBidi" w:cstheme="majorBidi"/>
          <w:sz w:val="28"/>
          <w:szCs w:val="28"/>
        </w:rPr>
      </w:pPr>
    </w:p>
    <w:p w14:paraId="65571AFD" w14:textId="77777777" w:rsidR="0071099C" w:rsidRPr="0071099C" w:rsidRDefault="0071099C" w:rsidP="0071099C">
      <w:pPr>
        <w:spacing w:line="276" w:lineRule="auto"/>
        <w:rPr>
          <w:rFonts w:asciiTheme="majorBidi" w:hAnsiTheme="majorBidi" w:cstheme="majorBidi"/>
          <w:b/>
          <w:bCs/>
          <w:sz w:val="28"/>
          <w:szCs w:val="28"/>
          <w:u w:val="single"/>
        </w:rPr>
      </w:pPr>
      <w:r w:rsidRPr="0071099C">
        <w:rPr>
          <w:rFonts w:asciiTheme="majorBidi" w:hAnsiTheme="majorBidi" w:cstheme="majorBidi"/>
          <w:b/>
          <w:bCs/>
          <w:sz w:val="28"/>
          <w:szCs w:val="28"/>
          <w:u w:val="single"/>
        </w:rPr>
        <w:t>The Cost of Providing the Information</w:t>
      </w:r>
    </w:p>
    <w:p w14:paraId="59B35A2A" w14:textId="77777777" w:rsidR="0071099C" w:rsidRPr="0071099C" w:rsidRDefault="0071099C" w:rsidP="0071099C">
      <w:pPr>
        <w:shd w:val="clear" w:color="auto" w:fill="FFFFFF"/>
        <w:spacing w:after="360" w:line="276" w:lineRule="auto"/>
        <w:textAlignment w:val="baseline"/>
        <w:rPr>
          <w:rFonts w:asciiTheme="majorBidi" w:eastAsia="Times New Roman" w:hAnsiTheme="majorBidi" w:cstheme="majorBidi"/>
          <w:sz w:val="28"/>
          <w:szCs w:val="28"/>
          <w:lang w:eastAsia="en-GB"/>
        </w:rPr>
      </w:pPr>
      <w:r w:rsidRPr="0071099C">
        <w:rPr>
          <w:rFonts w:asciiTheme="majorBidi" w:eastAsia="Times New Roman" w:hAnsiTheme="majorBidi" w:cstheme="majorBidi"/>
          <w:sz w:val="28"/>
          <w:szCs w:val="28"/>
          <w:lang w:eastAsia="en-GB"/>
        </w:rPr>
        <w:t xml:space="preserve">A lot of information may be supplied free of charge. However, sometimes we may have to charge a fee, either to cover administration costs, or to pay photocopying or postage costs, or because of the expense involved in finding and supplying the information. </w:t>
      </w:r>
    </w:p>
    <w:p w14:paraId="5096F092" w14:textId="77777777" w:rsidR="0071099C" w:rsidRDefault="0071099C" w:rsidP="0071099C">
      <w:pPr>
        <w:shd w:val="clear" w:color="auto" w:fill="FFFFFF"/>
        <w:spacing w:after="360" w:line="276" w:lineRule="auto"/>
        <w:textAlignment w:val="baseline"/>
        <w:rPr>
          <w:rFonts w:asciiTheme="majorBidi" w:eastAsia="Times New Roman" w:hAnsiTheme="majorBidi" w:cstheme="majorBidi"/>
          <w:sz w:val="28"/>
          <w:szCs w:val="28"/>
          <w:lang w:eastAsia="en-GB"/>
        </w:rPr>
      </w:pPr>
      <w:r w:rsidRPr="0071099C">
        <w:rPr>
          <w:rFonts w:asciiTheme="majorBidi" w:eastAsia="Times New Roman" w:hAnsiTheme="majorBidi" w:cstheme="majorBidi"/>
          <w:sz w:val="28"/>
          <w:szCs w:val="28"/>
          <w:lang w:eastAsia="en-GB"/>
        </w:rPr>
        <w:t>Requests should be made to:</w:t>
      </w:r>
    </w:p>
    <w:p w14:paraId="67D8F3A4" w14:textId="65B04159"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The Practice Manager</w:t>
      </w:r>
    </w:p>
    <w:p w14:paraId="511074E0" w14:textId="694F7878"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Caritas Surgery</w:t>
      </w:r>
    </w:p>
    <w:p w14:paraId="1DE9FCC4" w14:textId="60A6A1CB"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Well Street Clinic</w:t>
      </w:r>
    </w:p>
    <w:p w14:paraId="42BF4407" w14:textId="0E51E94B"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Well Street</w:t>
      </w:r>
    </w:p>
    <w:p w14:paraId="0D937A1C" w14:textId="68B50CCB"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Cefn Mawr</w:t>
      </w:r>
    </w:p>
    <w:p w14:paraId="3ABFA1CB" w14:textId="2018D205" w:rsid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LL14 3AE</w:t>
      </w:r>
    </w:p>
    <w:p w14:paraId="0B728DB7" w14:textId="5888452E" w:rsidR="001362A2" w:rsidRDefault="001362A2" w:rsidP="0071099C">
      <w:pPr>
        <w:shd w:val="clear" w:color="auto" w:fill="FFFFFF"/>
        <w:spacing w:line="276" w:lineRule="auto"/>
        <w:textAlignment w:val="baseline"/>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Or Enquiries2.w00007@wales.nhs.uk</w:t>
      </w:r>
    </w:p>
    <w:p w14:paraId="4E605DBA" w14:textId="23B32AFD" w:rsidR="0071099C" w:rsidRPr="0071099C" w:rsidRDefault="0071099C" w:rsidP="0071099C">
      <w:pPr>
        <w:shd w:val="clear" w:color="auto" w:fill="FFFFFF"/>
        <w:spacing w:line="276" w:lineRule="auto"/>
        <w:textAlignment w:val="baseline"/>
        <w:rPr>
          <w:rFonts w:asciiTheme="majorBidi" w:eastAsia="Times New Roman" w:hAnsiTheme="majorBidi" w:cstheme="majorBidi"/>
          <w:sz w:val="28"/>
          <w:szCs w:val="28"/>
          <w:lang w:eastAsia="en-GB"/>
        </w:rPr>
      </w:pPr>
    </w:p>
    <w:p w14:paraId="0BAE4107" w14:textId="77777777" w:rsidR="001753FA" w:rsidRDefault="001753FA"/>
    <w:sectPr w:rsidR="001753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83D7" w14:textId="77777777" w:rsidR="0071099C" w:rsidRDefault="0071099C" w:rsidP="0071099C">
      <w:r>
        <w:separator/>
      </w:r>
    </w:p>
  </w:endnote>
  <w:endnote w:type="continuationSeparator" w:id="0">
    <w:p w14:paraId="5288E9FF" w14:textId="77777777" w:rsidR="0071099C" w:rsidRDefault="0071099C" w:rsidP="0071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3363" w14:textId="77777777" w:rsidR="0071099C" w:rsidRDefault="0071099C" w:rsidP="0071099C">
      <w:r>
        <w:separator/>
      </w:r>
    </w:p>
  </w:footnote>
  <w:footnote w:type="continuationSeparator" w:id="0">
    <w:p w14:paraId="4C150C34" w14:textId="77777777" w:rsidR="0071099C" w:rsidRDefault="0071099C" w:rsidP="00710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27"/>
      <w:gridCol w:w="1563"/>
      <w:gridCol w:w="6026"/>
    </w:tblGrid>
    <w:tr w:rsidR="00250877" w:rsidRPr="00250877" w14:paraId="3A2D240A" w14:textId="77777777" w:rsidTr="00402AEA">
      <w:tc>
        <w:tcPr>
          <w:tcW w:w="1427" w:type="dxa"/>
          <w:vMerge w:val="restart"/>
        </w:tcPr>
        <w:p w14:paraId="64B6E215" w14:textId="77777777" w:rsidR="00250877" w:rsidRPr="00250877" w:rsidRDefault="00250877" w:rsidP="00250877">
          <w:pPr>
            <w:rPr>
              <w:sz w:val="18"/>
              <w:szCs w:val="18"/>
            </w:rPr>
          </w:pPr>
          <w:r w:rsidRPr="00250877">
            <w:rPr>
              <w:noProof/>
              <w:sz w:val="18"/>
              <w:szCs w:val="18"/>
              <w14:ligatures w14:val="standardContextual"/>
            </w:rPr>
            <w:drawing>
              <wp:anchor distT="0" distB="0" distL="114300" distR="114300" simplePos="0" relativeHeight="251659264" behindDoc="0" locked="0" layoutInCell="1" allowOverlap="1" wp14:anchorId="0B733F00" wp14:editId="5F448A56">
                <wp:simplePos x="0" y="0"/>
                <wp:positionH relativeFrom="column">
                  <wp:posOffset>-71755</wp:posOffset>
                </wp:positionH>
                <wp:positionV relativeFrom="paragraph">
                  <wp:posOffset>172720</wp:posOffset>
                </wp:positionV>
                <wp:extent cx="847725" cy="584456"/>
                <wp:effectExtent l="0" t="0" r="0" b="6350"/>
                <wp:wrapNone/>
                <wp:docPr id="19899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44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63" w:type="dxa"/>
        </w:tcPr>
        <w:p w14:paraId="570C29F3" w14:textId="77777777" w:rsidR="00250877" w:rsidRPr="00250877" w:rsidRDefault="00250877" w:rsidP="00250877">
          <w:pPr>
            <w:rPr>
              <w:sz w:val="18"/>
              <w:szCs w:val="18"/>
            </w:rPr>
          </w:pPr>
          <w:r w:rsidRPr="00250877">
            <w:rPr>
              <w:sz w:val="18"/>
              <w:szCs w:val="18"/>
            </w:rPr>
            <w:t>Name of document</w:t>
          </w:r>
        </w:p>
      </w:tc>
      <w:tc>
        <w:tcPr>
          <w:tcW w:w="6026" w:type="dxa"/>
        </w:tcPr>
        <w:p w14:paraId="08B245D1" w14:textId="77777777" w:rsidR="00250877" w:rsidRPr="00250877" w:rsidRDefault="00250877" w:rsidP="00250877">
          <w:pPr>
            <w:rPr>
              <w:sz w:val="18"/>
              <w:szCs w:val="18"/>
            </w:rPr>
          </w:pPr>
          <w:r w:rsidRPr="00250877">
            <w:rPr>
              <w:sz w:val="18"/>
              <w:szCs w:val="18"/>
            </w:rPr>
            <w:t>FOI Statement</w:t>
          </w:r>
        </w:p>
      </w:tc>
    </w:tr>
    <w:tr w:rsidR="00250877" w:rsidRPr="00250877" w14:paraId="21E306E5" w14:textId="77777777" w:rsidTr="00402AEA">
      <w:tc>
        <w:tcPr>
          <w:tcW w:w="1427" w:type="dxa"/>
          <w:vMerge/>
        </w:tcPr>
        <w:p w14:paraId="70CC678D" w14:textId="77777777" w:rsidR="00250877" w:rsidRPr="00250877" w:rsidRDefault="00250877" w:rsidP="00250877">
          <w:pPr>
            <w:rPr>
              <w:sz w:val="18"/>
              <w:szCs w:val="18"/>
            </w:rPr>
          </w:pPr>
        </w:p>
      </w:tc>
      <w:tc>
        <w:tcPr>
          <w:tcW w:w="1563" w:type="dxa"/>
        </w:tcPr>
        <w:p w14:paraId="6CAD76D8" w14:textId="77777777" w:rsidR="00250877" w:rsidRPr="00250877" w:rsidRDefault="00250877" w:rsidP="00250877">
          <w:pPr>
            <w:rPr>
              <w:sz w:val="18"/>
              <w:szCs w:val="18"/>
            </w:rPr>
          </w:pPr>
          <w:r w:rsidRPr="00250877">
            <w:rPr>
              <w:sz w:val="18"/>
              <w:szCs w:val="18"/>
            </w:rPr>
            <w:t>Author</w:t>
          </w:r>
        </w:p>
      </w:tc>
      <w:tc>
        <w:tcPr>
          <w:tcW w:w="6026" w:type="dxa"/>
        </w:tcPr>
        <w:p w14:paraId="55B52897" w14:textId="77777777" w:rsidR="00250877" w:rsidRPr="00250877" w:rsidRDefault="00250877" w:rsidP="00250877">
          <w:pPr>
            <w:rPr>
              <w:sz w:val="18"/>
              <w:szCs w:val="18"/>
            </w:rPr>
          </w:pPr>
          <w:r w:rsidRPr="00250877">
            <w:rPr>
              <w:sz w:val="18"/>
              <w:szCs w:val="18"/>
            </w:rPr>
            <w:t>Practice Manager</w:t>
          </w:r>
        </w:p>
      </w:tc>
    </w:tr>
    <w:tr w:rsidR="00250877" w:rsidRPr="00250877" w14:paraId="732E3CAE" w14:textId="77777777" w:rsidTr="00402AEA">
      <w:tc>
        <w:tcPr>
          <w:tcW w:w="1427" w:type="dxa"/>
          <w:vMerge/>
        </w:tcPr>
        <w:p w14:paraId="1D8C3119" w14:textId="77777777" w:rsidR="00250877" w:rsidRPr="00250877" w:rsidRDefault="00250877" w:rsidP="00250877">
          <w:pPr>
            <w:rPr>
              <w:sz w:val="18"/>
              <w:szCs w:val="18"/>
            </w:rPr>
          </w:pPr>
        </w:p>
      </w:tc>
      <w:tc>
        <w:tcPr>
          <w:tcW w:w="1563" w:type="dxa"/>
        </w:tcPr>
        <w:p w14:paraId="26443E83" w14:textId="77777777" w:rsidR="00250877" w:rsidRPr="00250877" w:rsidRDefault="00250877" w:rsidP="00250877">
          <w:pPr>
            <w:rPr>
              <w:sz w:val="18"/>
              <w:szCs w:val="18"/>
            </w:rPr>
          </w:pPr>
          <w:r w:rsidRPr="00250877">
            <w:rPr>
              <w:sz w:val="18"/>
              <w:szCs w:val="18"/>
            </w:rPr>
            <w:t>Date</w:t>
          </w:r>
        </w:p>
      </w:tc>
      <w:tc>
        <w:tcPr>
          <w:tcW w:w="6026" w:type="dxa"/>
        </w:tcPr>
        <w:p w14:paraId="231EE46F" w14:textId="77777777" w:rsidR="00250877" w:rsidRPr="00250877" w:rsidRDefault="00250877" w:rsidP="00250877">
          <w:pPr>
            <w:rPr>
              <w:sz w:val="18"/>
              <w:szCs w:val="18"/>
            </w:rPr>
          </w:pPr>
          <w:r w:rsidRPr="00250877">
            <w:rPr>
              <w:sz w:val="18"/>
              <w:szCs w:val="18"/>
            </w:rPr>
            <w:t>11/03/2024</w:t>
          </w:r>
        </w:p>
      </w:tc>
    </w:tr>
    <w:tr w:rsidR="00250877" w:rsidRPr="00250877" w14:paraId="76D6BED4" w14:textId="77777777" w:rsidTr="00402AEA">
      <w:tc>
        <w:tcPr>
          <w:tcW w:w="1427" w:type="dxa"/>
          <w:vMerge/>
        </w:tcPr>
        <w:p w14:paraId="4FDACE8E" w14:textId="77777777" w:rsidR="00250877" w:rsidRPr="00250877" w:rsidRDefault="00250877" w:rsidP="00250877">
          <w:pPr>
            <w:rPr>
              <w:sz w:val="18"/>
              <w:szCs w:val="18"/>
            </w:rPr>
          </w:pPr>
        </w:p>
      </w:tc>
      <w:tc>
        <w:tcPr>
          <w:tcW w:w="1563" w:type="dxa"/>
        </w:tcPr>
        <w:p w14:paraId="1832F46E" w14:textId="77777777" w:rsidR="00250877" w:rsidRPr="00250877" w:rsidRDefault="00250877" w:rsidP="00250877">
          <w:pPr>
            <w:rPr>
              <w:sz w:val="18"/>
              <w:szCs w:val="18"/>
            </w:rPr>
          </w:pPr>
          <w:r w:rsidRPr="00250877">
            <w:rPr>
              <w:sz w:val="18"/>
              <w:szCs w:val="18"/>
            </w:rPr>
            <w:t>Version</w:t>
          </w:r>
        </w:p>
      </w:tc>
      <w:tc>
        <w:tcPr>
          <w:tcW w:w="6026" w:type="dxa"/>
        </w:tcPr>
        <w:p w14:paraId="75D7E771" w14:textId="77777777" w:rsidR="00250877" w:rsidRPr="00250877" w:rsidRDefault="00250877" w:rsidP="00250877">
          <w:pPr>
            <w:rPr>
              <w:sz w:val="18"/>
              <w:szCs w:val="18"/>
            </w:rPr>
          </w:pPr>
          <w:r w:rsidRPr="00250877">
            <w:rPr>
              <w:sz w:val="18"/>
              <w:szCs w:val="18"/>
            </w:rPr>
            <w:t>1</w:t>
          </w:r>
        </w:p>
      </w:tc>
    </w:tr>
    <w:tr w:rsidR="00250877" w:rsidRPr="00250877" w14:paraId="0FCB75CF" w14:textId="77777777" w:rsidTr="00402AEA">
      <w:tc>
        <w:tcPr>
          <w:tcW w:w="1427" w:type="dxa"/>
          <w:vMerge/>
        </w:tcPr>
        <w:p w14:paraId="2763B0B2" w14:textId="77777777" w:rsidR="00250877" w:rsidRPr="00250877" w:rsidRDefault="00250877" w:rsidP="00250877">
          <w:pPr>
            <w:rPr>
              <w:sz w:val="18"/>
              <w:szCs w:val="18"/>
            </w:rPr>
          </w:pPr>
        </w:p>
      </w:tc>
      <w:tc>
        <w:tcPr>
          <w:tcW w:w="1563" w:type="dxa"/>
        </w:tcPr>
        <w:p w14:paraId="367E62DF" w14:textId="77777777" w:rsidR="00250877" w:rsidRPr="00250877" w:rsidRDefault="00250877" w:rsidP="00250877">
          <w:pPr>
            <w:rPr>
              <w:sz w:val="18"/>
              <w:szCs w:val="18"/>
            </w:rPr>
          </w:pPr>
          <w:r w:rsidRPr="00250877">
            <w:rPr>
              <w:sz w:val="18"/>
              <w:szCs w:val="18"/>
            </w:rPr>
            <w:t>Next review</w:t>
          </w:r>
        </w:p>
      </w:tc>
      <w:tc>
        <w:tcPr>
          <w:tcW w:w="6026" w:type="dxa"/>
        </w:tcPr>
        <w:p w14:paraId="29A3E66C" w14:textId="77777777" w:rsidR="00250877" w:rsidRPr="00250877" w:rsidRDefault="00250877" w:rsidP="00250877">
          <w:pPr>
            <w:rPr>
              <w:sz w:val="18"/>
              <w:szCs w:val="18"/>
            </w:rPr>
          </w:pPr>
          <w:r w:rsidRPr="00250877">
            <w:rPr>
              <w:sz w:val="18"/>
              <w:szCs w:val="18"/>
            </w:rPr>
            <w:t>11/03/2025</w:t>
          </w:r>
        </w:p>
      </w:tc>
    </w:tr>
  </w:tbl>
  <w:p w14:paraId="4E72E797" w14:textId="1819BF4C" w:rsidR="0071099C" w:rsidRDefault="0071099C">
    <w:pPr>
      <w:pStyle w:val="Header"/>
    </w:pPr>
  </w:p>
  <w:p w14:paraId="1E7A9631" w14:textId="77777777" w:rsidR="0071099C" w:rsidRDefault="00710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9C"/>
    <w:rsid w:val="001362A2"/>
    <w:rsid w:val="001753FA"/>
    <w:rsid w:val="00250877"/>
    <w:rsid w:val="0071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AF77"/>
  <w15:chartTrackingRefBased/>
  <w15:docId w15:val="{443B464C-0B17-4280-894B-340F0521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9C"/>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7109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09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099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099C"/>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1099C"/>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1099C"/>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1099C"/>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1099C"/>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1099C"/>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99C"/>
    <w:rPr>
      <w:rFonts w:eastAsiaTheme="majorEastAsia" w:cstheme="majorBidi"/>
      <w:color w:val="272727" w:themeColor="text1" w:themeTint="D8"/>
    </w:rPr>
  </w:style>
  <w:style w:type="paragraph" w:styleId="Title">
    <w:name w:val="Title"/>
    <w:basedOn w:val="Normal"/>
    <w:next w:val="Normal"/>
    <w:link w:val="TitleChar"/>
    <w:uiPriority w:val="10"/>
    <w:qFormat/>
    <w:rsid w:val="0071099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0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99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0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99C"/>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1099C"/>
    <w:rPr>
      <w:i/>
      <w:iCs/>
      <w:color w:val="404040" w:themeColor="text1" w:themeTint="BF"/>
    </w:rPr>
  </w:style>
  <w:style w:type="paragraph" w:styleId="ListParagraph">
    <w:name w:val="List Paragraph"/>
    <w:basedOn w:val="Normal"/>
    <w:uiPriority w:val="34"/>
    <w:qFormat/>
    <w:rsid w:val="0071099C"/>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71099C"/>
    <w:rPr>
      <w:i/>
      <w:iCs/>
      <w:color w:val="0F4761" w:themeColor="accent1" w:themeShade="BF"/>
    </w:rPr>
  </w:style>
  <w:style w:type="paragraph" w:styleId="IntenseQuote">
    <w:name w:val="Intense Quote"/>
    <w:basedOn w:val="Normal"/>
    <w:next w:val="Normal"/>
    <w:link w:val="IntenseQuoteChar"/>
    <w:uiPriority w:val="30"/>
    <w:qFormat/>
    <w:rsid w:val="0071099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1099C"/>
    <w:rPr>
      <w:i/>
      <w:iCs/>
      <w:color w:val="0F4761" w:themeColor="accent1" w:themeShade="BF"/>
    </w:rPr>
  </w:style>
  <w:style w:type="character" w:styleId="IntenseReference">
    <w:name w:val="Intense Reference"/>
    <w:basedOn w:val="DefaultParagraphFont"/>
    <w:uiPriority w:val="32"/>
    <w:qFormat/>
    <w:rsid w:val="0071099C"/>
    <w:rPr>
      <w:b/>
      <w:bCs/>
      <w:smallCaps/>
      <w:color w:val="0F4761" w:themeColor="accent1" w:themeShade="BF"/>
      <w:spacing w:val="5"/>
    </w:rPr>
  </w:style>
  <w:style w:type="paragraph" w:styleId="Header">
    <w:name w:val="header"/>
    <w:basedOn w:val="Normal"/>
    <w:link w:val="HeaderChar"/>
    <w:uiPriority w:val="99"/>
    <w:unhideWhenUsed/>
    <w:rsid w:val="0071099C"/>
    <w:pPr>
      <w:tabs>
        <w:tab w:val="center" w:pos="4513"/>
        <w:tab w:val="right" w:pos="9026"/>
      </w:tabs>
    </w:pPr>
  </w:style>
  <w:style w:type="character" w:customStyle="1" w:styleId="HeaderChar">
    <w:name w:val="Header Char"/>
    <w:basedOn w:val="DefaultParagraphFont"/>
    <w:link w:val="Header"/>
    <w:uiPriority w:val="99"/>
    <w:rsid w:val="0071099C"/>
    <w:rPr>
      <w:kern w:val="0"/>
      <w:sz w:val="24"/>
      <w:szCs w:val="24"/>
      <w14:ligatures w14:val="none"/>
    </w:rPr>
  </w:style>
  <w:style w:type="paragraph" w:styleId="Footer">
    <w:name w:val="footer"/>
    <w:basedOn w:val="Normal"/>
    <w:link w:val="FooterChar"/>
    <w:uiPriority w:val="99"/>
    <w:unhideWhenUsed/>
    <w:rsid w:val="0071099C"/>
    <w:pPr>
      <w:tabs>
        <w:tab w:val="center" w:pos="4513"/>
        <w:tab w:val="right" w:pos="9026"/>
      </w:tabs>
    </w:pPr>
  </w:style>
  <w:style w:type="character" w:customStyle="1" w:styleId="FooterChar">
    <w:name w:val="Footer Char"/>
    <w:basedOn w:val="DefaultParagraphFont"/>
    <w:link w:val="Footer"/>
    <w:uiPriority w:val="99"/>
    <w:rsid w:val="0071099C"/>
    <w:rPr>
      <w:kern w:val="0"/>
      <w:sz w:val="24"/>
      <w:szCs w:val="24"/>
      <w14:ligatures w14:val="none"/>
    </w:rPr>
  </w:style>
  <w:style w:type="table" w:styleId="TableGrid">
    <w:name w:val="Table Grid"/>
    <w:basedOn w:val="TableNormal"/>
    <w:uiPriority w:val="39"/>
    <w:rsid w:val="00250877"/>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Jones (Coedpoeth - Caritas Health Partnership)</dc:creator>
  <cp:keywords/>
  <dc:description/>
  <cp:lastModifiedBy>Nicola Jones (Coedpoeth - Caritas Health Partnership)</cp:lastModifiedBy>
  <cp:revision>3</cp:revision>
  <dcterms:created xsi:type="dcterms:W3CDTF">2024-03-12T11:51:00Z</dcterms:created>
  <dcterms:modified xsi:type="dcterms:W3CDTF">2024-03-19T10:47:00Z</dcterms:modified>
</cp:coreProperties>
</file>